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DB" w:rsidRPr="006574DB" w:rsidRDefault="006574DB" w:rsidP="006574DB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Cs w:val="20"/>
        </w:rPr>
      </w:pPr>
      <w:bookmarkStart w:id="0" w:name="_GoBack"/>
      <w:r w:rsidRPr="006574D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(1)公務人員普通考試</w:t>
      </w:r>
      <w:proofErr w:type="gramStart"/>
      <w:r w:rsidRPr="006574D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分試類科</w:t>
      </w:r>
      <w:proofErr w:type="gramEnd"/>
      <w:r w:rsidRPr="006574D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及應試科目表[</w:t>
      </w:r>
      <w:r w:rsidRPr="006574DB">
        <w:rPr>
          <w:rFonts w:ascii="微軟正黑體" w:eastAsia="微軟正黑體" w:hAnsi="微軟正黑體" w:cs="Times New Roman" w:hint="eastAsia"/>
          <w:b/>
          <w:bCs/>
          <w:color w:val="FF0080"/>
          <w:kern w:val="0"/>
          <w:szCs w:val="20"/>
        </w:rPr>
        <w:t>行政類</w:t>
      </w:r>
      <w:r w:rsidRPr="006574DB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0"/>
        </w:rPr>
        <w:t>]</w:t>
      </w:r>
    </w:p>
    <w:tbl>
      <w:tblPr>
        <w:tblW w:w="91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672"/>
        <w:gridCol w:w="5250"/>
      </w:tblGrid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科　　別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第一試專業知識測驗科目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第　二　試　應　試　科　目　　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保育人員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兒童發展與輔導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二、兒童保育概要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親職教育概要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四、兒童福利概要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人事行政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行政學概要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一、行政學概要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二、行政法概要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三、現行考</w:t>
            </w:r>
            <w:proofErr w:type="gramStart"/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銓</w:t>
            </w:r>
            <w:proofErr w:type="gramEnd"/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制度概要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心理學（包括諮商與輔導）概要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教育概要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一、教育概要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二、行政法概要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教育測驗與統計概要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圖書資訊管理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圖書館管理概要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一、圖書館管理概要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二、技術服務概要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三、讀者服務概要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四、電腦與資訊檢索概要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統計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統計學概要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統計學概要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二、經濟學概要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三、統計實務概要（以實例命題）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四、資料處理概要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政風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行政法概要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一、行政法概要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二、公務員法（包括任用、服務與懲戒）概要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三、刑法概要或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心理學概要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四、刑事訴訟法概要或經濟學概要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工業行政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統計學概要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統計學概要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二、工業管理概要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三、工程經濟概要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四、計算機概要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  <w:tr w:rsidR="006574DB" w:rsidRPr="006574DB" w:rsidTr="006574DB">
        <w:trPr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企業管理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人力資源管理概要</w:t>
            </w:r>
          </w:p>
        </w:tc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DB" w:rsidRPr="006574DB" w:rsidRDefault="006574DB" w:rsidP="006574DB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一、</w:t>
            </w:r>
            <w:r w:rsidRPr="006574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人力資源管理概要</w:t>
            </w:r>
            <w:r w:rsidRPr="006574DB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二、行銷管理概要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三、財務管理概要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四、經濟學概要</w:t>
            </w:r>
            <w:r w:rsidRPr="006574D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五、國文（論文、公文與閱讀測驗）</w:t>
            </w:r>
          </w:p>
        </w:tc>
      </w:tr>
    </w:tbl>
    <w:p w:rsidR="00C33D54" w:rsidRPr="006574DB" w:rsidRDefault="00C33D54" w:rsidP="006574DB">
      <w:pPr>
        <w:rPr>
          <w:rFonts w:ascii="微軟正黑體" w:eastAsia="微軟正黑體" w:hAnsi="微軟正黑體"/>
          <w:sz w:val="20"/>
          <w:szCs w:val="20"/>
        </w:rPr>
      </w:pPr>
    </w:p>
    <w:sectPr w:rsidR="00C33D54" w:rsidRPr="006574DB" w:rsidSect="006574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B"/>
    <w:rsid w:val="006574DB"/>
    <w:rsid w:val="00C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0271-604D-487D-B58C-545D58A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74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PSY3420</dc:creator>
  <cp:keywords/>
  <dc:description/>
  <cp:lastModifiedBy>PSY3420</cp:lastModifiedBy>
  <cp:revision>1</cp:revision>
  <dcterms:created xsi:type="dcterms:W3CDTF">2016-09-06T08:36:00Z</dcterms:created>
  <dcterms:modified xsi:type="dcterms:W3CDTF">2016-09-06T08:38:00Z</dcterms:modified>
</cp:coreProperties>
</file>